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D42F5" w14:textId="77777777" w:rsidR="007A3067" w:rsidRDefault="007A3067">
      <w:pPr>
        <w:rPr>
          <w:rFonts w:ascii="Aptos" w:hAnsi="Aptos" w:cs="Arial"/>
          <w:b/>
          <w:sz w:val="28"/>
          <w:szCs w:val="28"/>
          <w:lang w:val="en-US"/>
        </w:rPr>
      </w:pPr>
    </w:p>
    <w:p w14:paraId="22B2C147" w14:textId="77777777" w:rsidR="007A3067" w:rsidRDefault="007A3067">
      <w:pPr>
        <w:rPr>
          <w:rFonts w:ascii="Aptos" w:hAnsi="Aptos" w:cs="Arial"/>
          <w:b/>
          <w:sz w:val="28"/>
          <w:szCs w:val="28"/>
          <w:lang w:val="en-US"/>
        </w:rPr>
      </w:pPr>
    </w:p>
    <w:p w14:paraId="22FE4273" w14:textId="77777777" w:rsidR="007A3067" w:rsidRDefault="007A3067">
      <w:pPr>
        <w:rPr>
          <w:rFonts w:ascii="Aptos" w:hAnsi="Aptos" w:cs="Arial"/>
          <w:b/>
          <w:sz w:val="28"/>
          <w:szCs w:val="28"/>
          <w:lang w:val="en-US"/>
        </w:rPr>
      </w:pPr>
    </w:p>
    <w:p w14:paraId="294F7438" w14:textId="3EAD8CC5" w:rsidR="0024151B" w:rsidRPr="007A3067" w:rsidRDefault="0024151B">
      <w:pPr>
        <w:rPr>
          <w:rFonts w:ascii="Aptos" w:hAnsi="Aptos" w:cs="Arial"/>
          <w:sz w:val="28"/>
          <w:szCs w:val="28"/>
          <w:lang w:val="en-US"/>
        </w:rPr>
      </w:pPr>
      <w:r w:rsidRPr="007A3067">
        <w:rPr>
          <w:rFonts w:ascii="Aptos" w:hAnsi="Aptos" w:cs="Arial"/>
          <w:b/>
          <w:sz w:val="28"/>
          <w:szCs w:val="28"/>
          <w:lang w:val="en-US"/>
        </w:rPr>
        <w:t>JOB DESCRIPTION</w:t>
      </w:r>
    </w:p>
    <w:p w14:paraId="682A47A8" w14:textId="77777777" w:rsidR="008E4B09" w:rsidRPr="007A3067" w:rsidRDefault="008E4B09">
      <w:pPr>
        <w:rPr>
          <w:rFonts w:ascii="Aptos" w:hAnsi="Aptos" w:cs="Arial"/>
          <w:sz w:val="20"/>
          <w:szCs w:val="20"/>
          <w:lang w:val="en-US"/>
        </w:rPr>
      </w:pPr>
    </w:p>
    <w:p w14:paraId="390BE487" w14:textId="77777777" w:rsidR="0024151B" w:rsidRPr="007A3067" w:rsidRDefault="0024151B">
      <w:pPr>
        <w:rPr>
          <w:rFonts w:ascii="Aptos" w:hAnsi="Aptos" w:cs="Arial"/>
          <w:sz w:val="20"/>
          <w:szCs w:val="20"/>
          <w:lang w:val="en-US"/>
        </w:rPr>
      </w:pPr>
      <w:r w:rsidRPr="007A3067">
        <w:rPr>
          <w:rFonts w:ascii="Aptos" w:hAnsi="Aptos" w:cs="Arial"/>
          <w:sz w:val="20"/>
          <w:szCs w:val="20"/>
          <w:lang w:val="en-US"/>
        </w:rPr>
        <w:t>This form</w:t>
      </w:r>
      <w:r w:rsidRPr="007A3067">
        <w:rPr>
          <w:rFonts w:ascii="Aptos" w:hAnsi="Aptos" w:cs="Arial"/>
          <w:sz w:val="20"/>
          <w:szCs w:val="20"/>
        </w:rPr>
        <w:t xml:space="preserve"> summarises</w:t>
      </w:r>
      <w:r w:rsidRPr="007A3067">
        <w:rPr>
          <w:rFonts w:ascii="Aptos" w:hAnsi="Aptos" w:cs="Arial"/>
          <w:sz w:val="20"/>
          <w:szCs w:val="20"/>
          <w:lang w:val="en-US"/>
        </w:rPr>
        <w:t xml:space="preserve"> the purpose of the job and lists its key tasks</w:t>
      </w:r>
      <w:r w:rsidR="0093170D" w:rsidRPr="007A3067">
        <w:rPr>
          <w:rFonts w:ascii="Aptos" w:hAnsi="Aptos" w:cs="Arial"/>
          <w:sz w:val="20"/>
          <w:szCs w:val="20"/>
          <w:lang w:val="en-US"/>
        </w:rPr>
        <w:t>.</w:t>
      </w:r>
    </w:p>
    <w:p w14:paraId="184AE97C" w14:textId="01D25F3E" w:rsidR="0024151B" w:rsidRPr="007A3067" w:rsidRDefault="0024151B">
      <w:pPr>
        <w:rPr>
          <w:rFonts w:ascii="Aptos" w:hAnsi="Aptos" w:cs="Arial"/>
          <w:sz w:val="20"/>
          <w:szCs w:val="20"/>
          <w:lang w:val="en-US"/>
        </w:rPr>
      </w:pPr>
      <w:r w:rsidRPr="007A3067">
        <w:rPr>
          <w:rFonts w:ascii="Aptos" w:hAnsi="Aptos" w:cs="Arial"/>
          <w:sz w:val="20"/>
          <w:szCs w:val="20"/>
          <w:lang w:val="en-US"/>
        </w:rPr>
        <w:t xml:space="preserve">It may be varied from time to time at the discretion of the </w:t>
      </w:r>
      <w:r w:rsidR="003E095E">
        <w:rPr>
          <w:rFonts w:ascii="Aptos" w:hAnsi="Aptos" w:cs="Arial"/>
          <w:sz w:val="20"/>
          <w:szCs w:val="20"/>
          <w:lang w:val="en-US"/>
        </w:rPr>
        <w:t>RVC</w:t>
      </w:r>
      <w:r w:rsidRPr="007A3067">
        <w:rPr>
          <w:rFonts w:ascii="Aptos" w:hAnsi="Aptos" w:cs="Arial"/>
          <w:sz w:val="20"/>
          <w:szCs w:val="20"/>
          <w:lang w:val="en-US"/>
        </w:rPr>
        <w:t xml:space="preserve"> in consultation with the </w:t>
      </w:r>
      <w:r w:rsidR="00CA0395" w:rsidRPr="007A3067">
        <w:rPr>
          <w:rFonts w:ascii="Aptos" w:hAnsi="Aptos" w:cs="Arial"/>
          <w:sz w:val="20"/>
          <w:szCs w:val="20"/>
          <w:lang w:val="en-US"/>
        </w:rPr>
        <w:t>postholder</w:t>
      </w:r>
      <w:r w:rsidR="0093170D" w:rsidRPr="007A3067">
        <w:rPr>
          <w:rFonts w:ascii="Aptos" w:hAnsi="Aptos" w:cs="Arial"/>
          <w:sz w:val="20"/>
          <w:szCs w:val="20"/>
          <w:lang w:val="en-US"/>
        </w:rPr>
        <w:t>.</w:t>
      </w:r>
    </w:p>
    <w:p w14:paraId="0CEBF6BE" w14:textId="77777777" w:rsidR="0024151B" w:rsidRPr="007A3067" w:rsidRDefault="0024151B">
      <w:pPr>
        <w:rPr>
          <w:rFonts w:ascii="Aptos" w:hAnsi="Aptos" w:cs="Arial"/>
          <w:sz w:val="20"/>
          <w:szCs w:val="20"/>
          <w:lang w:val="en-US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2013"/>
        <w:gridCol w:w="3260"/>
      </w:tblGrid>
      <w:tr w:rsidR="007A3067" w:rsidRPr="009B17AF" w14:paraId="62550281" w14:textId="77777777" w:rsidTr="00437FAF">
        <w:tc>
          <w:tcPr>
            <w:tcW w:w="1816" w:type="dxa"/>
            <w:shd w:val="clear" w:color="auto" w:fill="F2F2F2"/>
            <w:vAlign w:val="center"/>
          </w:tcPr>
          <w:p w14:paraId="560337FD" w14:textId="77777777" w:rsidR="007A3067" w:rsidRPr="009B17AF" w:rsidRDefault="007A3067">
            <w:pPr>
              <w:spacing w:before="60" w:after="60"/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  <w:r w:rsidRPr="009B17AF">
              <w:rPr>
                <w:rFonts w:ascii="Aptos" w:hAnsi="Aptos" w:cs="Arial"/>
                <w:b/>
                <w:sz w:val="22"/>
                <w:szCs w:val="22"/>
                <w:lang w:val="en-US"/>
              </w:rPr>
              <w:t xml:space="preserve">Job Title: </w:t>
            </w:r>
          </w:p>
        </w:tc>
        <w:tc>
          <w:tcPr>
            <w:tcW w:w="3821" w:type="dxa"/>
            <w:vAlign w:val="center"/>
          </w:tcPr>
          <w:p w14:paraId="5487B874" w14:textId="77777777" w:rsidR="007A3067" w:rsidRPr="009B17AF" w:rsidRDefault="007A3067">
            <w:pPr>
              <w:spacing w:before="60" w:after="6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 w:rsidRPr="009B17AF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Health and Safety Advisor </w:t>
            </w:r>
          </w:p>
          <w:p w14:paraId="75BC2848" w14:textId="77777777" w:rsidR="007A3067" w:rsidRPr="009B17AF" w:rsidRDefault="007A3067">
            <w:pPr>
              <w:spacing w:before="60" w:after="6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 w:rsidRPr="009B17AF">
              <w:rPr>
                <w:rFonts w:ascii="Aptos" w:hAnsi="Aptos" w:cs="Arial"/>
                <w:bCs/>
                <w:sz w:val="22"/>
                <w:szCs w:val="22"/>
                <w:lang w:val="en-US"/>
              </w:rPr>
              <w:t>Biological and Dangerous Goods Safety Adviser</w:t>
            </w:r>
          </w:p>
          <w:p w14:paraId="4E6252CF" w14:textId="77777777" w:rsidR="007A3067" w:rsidRPr="009B17AF" w:rsidRDefault="007A3067">
            <w:pPr>
              <w:spacing w:before="60" w:after="6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 w:rsidRPr="009B17AF">
              <w:rPr>
                <w:rFonts w:ascii="Aptos" w:hAnsi="Aptos" w:cs="Arial"/>
                <w:bCs/>
                <w:sz w:val="22"/>
                <w:szCs w:val="22"/>
                <w:lang w:val="en-US"/>
              </w:rPr>
              <w:t>Full Time - Permanent</w:t>
            </w:r>
          </w:p>
        </w:tc>
        <w:tc>
          <w:tcPr>
            <w:tcW w:w="2013" w:type="dxa"/>
            <w:shd w:val="clear" w:color="auto" w:fill="F2F2F2"/>
            <w:vAlign w:val="center"/>
          </w:tcPr>
          <w:p w14:paraId="2D0FA465" w14:textId="77777777" w:rsidR="007A3067" w:rsidRPr="009B17AF" w:rsidRDefault="007A3067">
            <w:pPr>
              <w:spacing w:before="60" w:after="60"/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9B17AF">
              <w:rPr>
                <w:rFonts w:ascii="Aptos" w:hAnsi="Aptos" w:cs="Arial"/>
                <w:b/>
                <w:sz w:val="22"/>
                <w:szCs w:val="22"/>
                <w:lang w:val="en-US"/>
              </w:rPr>
              <w:t>Job ref no:</w:t>
            </w:r>
          </w:p>
        </w:tc>
        <w:tc>
          <w:tcPr>
            <w:tcW w:w="3260" w:type="dxa"/>
            <w:vAlign w:val="center"/>
          </w:tcPr>
          <w:p w14:paraId="4C227E53" w14:textId="5B95CE11" w:rsidR="007A3067" w:rsidRPr="00E77B41" w:rsidRDefault="00E77B41">
            <w:pPr>
              <w:spacing w:before="60" w:after="6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 w:rsidRPr="00E77B41">
              <w:rPr>
                <w:rFonts w:ascii="Aptos" w:hAnsi="Aptos" w:cs="Arial"/>
                <w:bCs/>
                <w:sz w:val="22"/>
                <w:szCs w:val="22"/>
                <w:lang w:val="en-US"/>
              </w:rPr>
              <w:t>HR-</w:t>
            </w:r>
            <w:r w:rsidRPr="00E77B41">
              <w:rPr>
                <w:rFonts w:ascii="Aptos" w:hAnsi="Aptos" w:cs="Arial"/>
                <w:bCs/>
                <w:sz w:val="22"/>
                <w:szCs w:val="22"/>
              </w:rPr>
              <w:t>0310-24</w:t>
            </w:r>
            <w:r w:rsidR="00437FAF">
              <w:rPr>
                <w:rFonts w:ascii="Aptos" w:hAnsi="Aptos" w:cs="Arial"/>
                <w:bCs/>
                <w:sz w:val="22"/>
                <w:szCs w:val="22"/>
              </w:rPr>
              <w:t>A</w:t>
            </w:r>
          </w:p>
        </w:tc>
      </w:tr>
      <w:tr w:rsidR="007A3067" w:rsidRPr="009B17AF" w14:paraId="40DDA9E2" w14:textId="77777777" w:rsidTr="00437FAF">
        <w:trPr>
          <w:trHeight w:val="454"/>
        </w:trPr>
        <w:tc>
          <w:tcPr>
            <w:tcW w:w="1816" w:type="dxa"/>
            <w:shd w:val="clear" w:color="auto" w:fill="F2F2F2"/>
            <w:vAlign w:val="center"/>
          </w:tcPr>
          <w:p w14:paraId="724DEC39" w14:textId="77777777" w:rsidR="007A3067" w:rsidRPr="009B17AF" w:rsidRDefault="007A3067">
            <w:pPr>
              <w:spacing w:before="60" w:after="60"/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  <w:r w:rsidRPr="009B17AF">
              <w:rPr>
                <w:rFonts w:ascii="Aptos" w:hAnsi="Aptos" w:cs="Arial"/>
                <w:b/>
                <w:sz w:val="22"/>
                <w:szCs w:val="22"/>
                <w:lang w:val="en-US"/>
              </w:rPr>
              <w:t xml:space="preserve">Grade: </w:t>
            </w:r>
          </w:p>
        </w:tc>
        <w:tc>
          <w:tcPr>
            <w:tcW w:w="3821" w:type="dxa"/>
            <w:vAlign w:val="center"/>
          </w:tcPr>
          <w:p w14:paraId="326C2CFC" w14:textId="77777777" w:rsidR="007A3067" w:rsidRPr="009B17AF" w:rsidRDefault="007A3067">
            <w:pPr>
              <w:spacing w:before="60" w:after="60"/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9B17AF">
              <w:rPr>
                <w:rFonts w:ascii="Aptos" w:hAnsi="Aptos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2013" w:type="dxa"/>
            <w:shd w:val="clear" w:color="auto" w:fill="F2F2F2"/>
            <w:vAlign w:val="center"/>
          </w:tcPr>
          <w:p w14:paraId="7B069723" w14:textId="77777777" w:rsidR="007A3067" w:rsidRPr="009B17AF" w:rsidRDefault="007A3067">
            <w:pPr>
              <w:spacing w:before="60" w:after="60"/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9B17AF">
              <w:rPr>
                <w:rFonts w:ascii="Aptos" w:hAnsi="Aptos" w:cs="Arial"/>
                <w:b/>
                <w:sz w:val="22"/>
                <w:szCs w:val="22"/>
                <w:lang w:val="en-US"/>
              </w:rPr>
              <w:t>Department:</w:t>
            </w:r>
          </w:p>
        </w:tc>
        <w:tc>
          <w:tcPr>
            <w:tcW w:w="3260" w:type="dxa"/>
            <w:vAlign w:val="center"/>
          </w:tcPr>
          <w:p w14:paraId="28FB4CE0" w14:textId="4BC105F1" w:rsidR="00524A1E" w:rsidRDefault="00524A1E">
            <w:pPr>
              <w:spacing w:before="60" w:after="6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>
              <w:rPr>
                <w:rFonts w:ascii="Aptos" w:hAnsi="Aptos" w:cs="Arial"/>
                <w:bCs/>
                <w:sz w:val="22"/>
                <w:szCs w:val="22"/>
                <w:lang w:val="en-US"/>
              </w:rPr>
              <w:t>Human Resources</w:t>
            </w:r>
          </w:p>
          <w:p w14:paraId="46E10084" w14:textId="62FEE20F" w:rsidR="00524A1E" w:rsidRPr="009B17AF" w:rsidRDefault="007A3067">
            <w:pPr>
              <w:spacing w:before="60" w:after="6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 w:rsidRPr="009B17AF">
              <w:rPr>
                <w:rFonts w:ascii="Aptos" w:hAnsi="Aptos" w:cs="Arial"/>
                <w:bCs/>
                <w:sz w:val="22"/>
                <w:szCs w:val="22"/>
                <w:lang w:val="en-US"/>
              </w:rPr>
              <w:t>Professional Services Department</w:t>
            </w:r>
          </w:p>
        </w:tc>
      </w:tr>
      <w:tr w:rsidR="007A3067" w:rsidRPr="009B17AF" w14:paraId="3B7A0BD6" w14:textId="77777777" w:rsidTr="00437FAF">
        <w:tc>
          <w:tcPr>
            <w:tcW w:w="1816" w:type="dxa"/>
            <w:shd w:val="clear" w:color="auto" w:fill="F2F2F2"/>
            <w:vAlign w:val="center"/>
          </w:tcPr>
          <w:p w14:paraId="12CB2C74" w14:textId="77777777" w:rsidR="007A3067" w:rsidRPr="009B17AF" w:rsidRDefault="007A3067">
            <w:pPr>
              <w:spacing w:before="60" w:after="60"/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  <w:r w:rsidRPr="009B17AF">
              <w:rPr>
                <w:rFonts w:ascii="Aptos" w:hAnsi="Aptos" w:cs="Arial"/>
                <w:b/>
                <w:sz w:val="22"/>
                <w:szCs w:val="22"/>
                <w:lang w:val="en-US"/>
              </w:rPr>
              <w:t>Acco</w:t>
            </w:r>
            <w:r>
              <w:rPr>
                <w:rFonts w:ascii="Aptos" w:hAnsi="Aptos" w:cs="Arial"/>
                <w:b/>
                <w:sz w:val="22"/>
                <w:szCs w:val="22"/>
                <w:lang w:val="en-US"/>
              </w:rPr>
              <w:t>u</w:t>
            </w:r>
            <w:r w:rsidRPr="009B17AF">
              <w:rPr>
                <w:rFonts w:ascii="Aptos" w:hAnsi="Aptos" w:cs="Arial"/>
                <w:b/>
                <w:sz w:val="22"/>
                <w:szCs w:val="22"/>
                <w:lang w:val="en-US"/>
              </w:rPr>
              <w:t xml:space="preserve">ntable to: </w:t>
            </w:r>
          </w:p>
        </w:tc>
        <w:tc>
          <w:tcPr>
            <w:tcW w:w="3821" w:type="dxa"/>
            <w:vAlign w:val="center"/>
          </w:tcPr>
          <w:p w14:paraId="17752074" w14:textId="77777777" w:rsidR="007A3067" w:rsidRPr="009B17AF" w:rsidRDefault="007A3067">
            <w:pPr>
              <w:spacing w:before="60" w:after="6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 w:rsidRPr="009B17AF">
              <w:rPr>
                <w:rFonts w:ascii="Aptos" w:hAnsi="Aptos" w:cs="Arial"/>
                <w:bCs/>
                <w:sz w:val="22"/>
                <w:szCs w:val="22"/>
                <w:lang w:val="en-US"/>
              </w:rPr>
              <w:t>Corporate Health and Safety Manager</w:t>
            </w:r>
          </w:p>
        </w:tc>
        <w:tc>
          <w:tcPr>
            <w:tcW w:w="2013" w:type="dxa"/>
            <w:shd w:val="clear" w:color="auto" w:fill="F2F2F2"/>
            <w:vAlign w:val="center"/>
          </w:tcPr>
          <w:p w14:paraId="036AD278" w14:textId="77777777" w:rsidR="007A3067" w:rsidRPr="00A20A4C" w:rsidRDefault="007A3067">
            <w:pPr>
              <w:spacing w:before="60" w:after="60"/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  <w:r w:rsidRPr="009B17AF">
              <w:rPr>
                <w:rFonts w:ascii="Aptos" w:hAnsi="Aptos" w:cs="Arial"/>
                <w:b/>
                <w:sz w:val="22"/>
                <w:szCs w:val="22"/>
                <w:lang w:val="en-US"/>
              </w:rPr>
              <w:t>Responsible for:</w:t>
            </w:r>
          </w:p>
        </w:tc>
        <w:tc>
          <w:tcPr>
            <w:tcW w:w="3260" w:type="dxa"/>
            <w:vAlign w:val="center"/>
          </w:tcPr>
          <w:p w14:paraId="3418EE48" w14:textId="77777777" w:rsidR="007A3067" w:rsidRPr="009B17AF" w:rsidRDefault="007A3067">
            <w:pPr>
              <w:spacing w:before="60" w:after="6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 w:rsidRPr="009B17AF">
              <w:rPr>
                <w:rFonts w:ascii="Aptos" w:hAnsi="Aptos" w:cs="Arial"/>
                <w:bCs/>
                <w:sz w:val="22"/>
                <w:szCs w:val="22"/>
                <w:lang w:val="en-US"/>
              </w:rPr>
              <w:t>N/A</w:t>
            </w:r>
          </w:p>
        </w:tc>
      </w:tr>
    </w:tbl>
    <w:p w14:paraId="18A2E9E4" w14:textId="77777777" w:rsidR="0024151B" w:rsidRPr="007A3067" w:rsidRDefault="0024151B">
      <w:pPr>
        <w:rPr>
          <w:rFonts w:ascii="Aptos" w:hAnsi="Aptos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24151B" w:rsidRPr="007A3067" w14:paraId="601F7F62" w14:textId="77777777" w:rsidTr="00823F19">
        <w:tc>
          <w:tcPr>
            <w:tcW w:w="11023" w:type="dxa"/>
            <w:vAlign w:val="center"/>
          </w:tcPr>
          <w:p w14:paraId="3CF38A6C" w14:textId="613EED02" w:rsidR="0024151B" w:rsidRPr="007A3067" w:rsidRDefault="0024151B" w:rsidP="007A3067">
            <w:pPr>
              <w:spacing w:before="120" w:after="120"/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  <w:r w:rsidRPr="007A3067">
              <w:rPr>
                <w:rFonts w:ascii="Aptos" w:hAnsi="Aptos" w:cs="Arial"/>
                <w:b/>
                <w:sz w:val="22"/>
                <w:szCs w:val="22"/>
                <w:lang w:val="en-US"/>
              </w:rPr>
              <w:t>Job summary:</w:t>
            </w:r>
          </w:p>
          <w:p w14:paraId="66122CB8" w14:textId="30AFF7D4" w:rsidR="00A70651" w:rsidRPr="007A3067" w:rsidRDefault="007477F0" w:rsidP="007A3067">
            <w:pPr>
              <w:spacing w:before="120" w:after="12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This senior role </w:t>
            </w:r>
            <w:r w:rsidR="007D6358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within the Corporate Health and Safety Team </w:t>
            </w: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provides specialist advice on the safe handling, storage, </w:t>
            </w:r>
            <w:r w:rsidR="007D6358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containment, </w:t>
            </w:r>
            <w:r w:rsidR="007A3067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disposal,</w:t>
            </w: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 and shipment of biological materials</w:t>
            </w:r>
            <w:r w:rsidR="007D6358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. They will also advise on the </w:t>
            </w:r>
            <w:r w:rsidR="0052092C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import, </w:t>
            </w:r>
            <w:r w:rsidR="00514C22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export,</w:t>
            </w:r>
            <w:r w:rsidR="0052092C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 and transportation of </w:t>
            </w:r>
            <w:r w:rsidR="00844EAE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Dangerous </w:t>
            </w:r>
            <w:r w:rsidR="0052092C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G</w:t>
            </w:r>
            <w:r w:rsidR="00844EAE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oods </w:t>
            </w: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at the RVC. </w:t>
            </w:r>
          </w:p>
          <w:p w14:paraId="1DF28134" w14:textId="563D6423" w:rsidR="007477F0" w:rsidRPr="007A3067" w:rsidRDefault="007477F0" w:rsidP="007A3067">
            <w:pPr>
              <w:spacing w:before="120" w:after="12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The post holder</w:t>
            </w:r>
            <w:r w:rsidR="00437FAF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 will hold a biological sciences degree and</w:t>
            </w: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 </w:t>
            </w:r>
            <w:r w:rsidR="00437FAF">
              <w:rPr>
                <w:rFonts w:ascii="Aptos" w:hAnsi="Aptos" w:cs="Arial"/>
                <w:bCs/>
                <w:sz w:val="22"/>
                <w:szCs w:val="22"/>
                <w:lang w:val="en-US"/>
              </w:rPr>
              <w:t>may</w:t>
            </w: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 hold professional qualifications in biological safety and the carriage of dangerous goods. The post-holder will provide</w:t>
            </w:r>
            <w:r w:rsidR="0052092C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 the </w:t>
            </w:r>
            <w:r w:rsidR="007A3067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following.</w:t>
            </w:r>
          </w:p>
          <w:p w14:paraId="11F33276" w14:textId="52C2419F" w:rsidR="007477F0" w:rsidRPr="007A3067" w:rsidRDefault="0052092C" w:rsidP="007A3067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A</w:t>
            </w:r>
            <w:r w:rsidR="007477F0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dvice and training in the management of pathogens and shipment of pathogens</w:t>
            </w:r>
          </w:p>
          <w:p w14:paraId="6643C119" w14:textId="0C3768A9" w:rsidR="007477F0" w:rsidRPr="007A3067" w:rsidRDefault="007477F0" w:rsidP="007A3067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Update</w:t>
            </w:r>
            <w:r w:rsidR="00437FAF">
              <w:rPr>
                <w:rFonts w:ascii="Aptos" w:hAnsi="Aptos" w:cs="Arial"/>
                <w:bCs/>
                <w:sz w:val="22"/>
                <w:szCs w:val="22"/>
                <w:lang w:val="en-US"/>
              </w:rPr>
              <w:t>d</w:t>
            </w: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 </w:t>
            </w:r>
            <w:r w:rsidR="0052092C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documentation including </w:t>
            </w:r>
            <w:r w:rsidR="003E095E">
              <w:rPr>
                <w:rFonts w:ascii="Aptos" w:hAnsi="Aptos" w:cs="Arial"/>
                <w:bCs/>
                <w:sz w:val="22"/>
                <w:szCs w:val="22"/>
                <w:lang w:val="en-US"/>
              </w:rPr>
              <w:t>p</w:t>
            </w: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olicy, </w:t>
            </w:r>
            <w:r w:rsidR="007A3067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guidance,</w:t>
            </w: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 and procedures on the safe handling of pathogens and shipment of dangerous goods in line with national and interna</w:t>
            </w:r>
            <w:r w:rsidR="007D6358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tional</w:t>
            </w: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 </w:t>
            </w:r>
            <w:r w:rsidR="007A3067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legislation.</w:t>
            </w:r>
          </w:p>
          <w:p w14:paraId="297F7A26" w14:textId="2F5BDED5" w:rsidR="007477F0" w:rsidRPr="007A3067" w:rsidRDefault="007477F0" w:rsidP="007A3067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Prov</w:t>
            </w:r>
            <w:r w:rsidR="00437FAF">
              <w:rPr>
                <w:rFonts w:ascii="Aptos" w:hAnsi="Aptos" w:cs="Arial"/>
                <w:bCs/>
                <w:sz w:val="22"/>
                <w:szCs w:val="22"/>
                <w:lang w:val="en-US"/>
              </w:rPr>
              <w:t>ision of</w:t>
            </w: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 specialist advice </w:t>
            </w:r>
            <w:r w:rsidR="00844EAE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and ensure compliance </w:t>
            </w: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on the safe handling of </w:t>
            </w:r>
            <w:r w:rsidR="00844EAE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GMOs, SAPO pathogens, Schedule 5 pathogens and ACDP HG 2 and 3 and their</w:t>
            </w:r>
            <w:r w:rsidR="0052092C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 containment</w:t>
            </w:r>
            <w:r w:rsidR="0052092C" w:rsidRPr="007A3067">
              <w:rPr>
                <w:rFonts w:ascii="Aptos" w:hAnsi="Aptos" w:cs="Arial"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52092C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for</w:t>
            </w:r>
            <w:r w:rsidR="0052092C" w:rsidRPr="007A3067">
              <w:rPr>
                <w:rFonts w:ascii="Aptos" w:hAnsi="Aptos" w:cs="Arial"/>
                <w:bCs/>
                <w:i/>
                <w:iCs/>
                <w:sz w:val="22"/>
                <w:szCs w:val="22"/>
                <w:lang w:val="en-US"/>
              </w:rPr>
              <w:t xml:space="preserve"> in vitro</w:t>
            </w:r>
            <w:r w:rsidR="0052092C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 and </w:t>
            </w:r>
            <w:r w:rsidR="0052092C" w:rsidRPr="007A3067">
              <w:rPr>
                <w:rFonts w:ascii="Aptos" w:hAnsi="Aptos" w:cs="Arial"/>
                <w:bCs/>
                <w:i/>
                <w:iCs/>
                <w:sz w:val="22"/>
                <w:szCs w:val="22"/>
                <w:lang w:val="en-US"/>
              </w:rPr>
              <w:t xml:space="preserve">in vivo </w:t>
            </w:r>
            <w:r w:rsidR="0052092C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activities</w:t>
            </w:r>
            <w:r w:rsidR="00844EAE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.</w:t>
            </w:r>
          </w:p>
          <w:p w14:paraId="624A86BA" w14:textId="33AF5407" w:rsidR="0024151B" w:rsidRPr="007A3067" w:rsidRDefault="00844EAE" w:rsidP="007A3067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Attend Safety Groups </w:t>
            </w:r>
            <w:r w:rsidR="0052092C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and user </w:t>
            </w: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meetings as required.</w:t>
            </w:r>
          </w:p>
        </w:tc>
      </w:tr>
    </w:tbl>
    <w:p w14:paraId="3366CF6F" w14:textId="77777777" w:rsidR="0024151B" w:rsidRPr="007A3067" w:rsidRDefault="0024151B">
      <w:pPr>
        <w:rPr>
          <w:rFonts w:ascii="Aptos" w:hAnsi="Aptos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CA0395" w:rsidRPr="007A3067" w14:paraId="468AF727" w14:textId="77777777" w:rsidTr="00823F19">
        <w:tc>
          <w:tcPr>
            <w:tcW w:w="11023" w:type="dxa"/>
          </w:tcPr>
          <w:p w14:paraId="0A30A055" w14:textId="36EA9651" w:rsidR="00CA0395" w:rsidRPr="007A3067" w:rsidRDefault="00CA0395" w:rsidP="007A3067">
            <w:pPr>
              <w:spacing w:before="120" w:after="120"/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  <w:r w:rsidRPr="007A3067">
              <w:rPr>
                <w:rFonts w:ascii="Aptos" w:hAnsi="Aptos" w:cs="Arial"/>
                <w:b/>
                <w:sz w:val="22"/>
                <w:szCs w:val="22"/>
                <w:lang w:val="en-US"/>
              </w:rPr>
              <w:t xml:space="preserve">Competency: </w:t>
            </w:r>
            <w:r w:rsidR="00844EAE" w:rsidRPr="007A3067">
              <w:rPr>
                <w:rFonts w:ascii="Aptos" w:hAnsi="Aptos" w:cs="Arial"/>
                <w:b/>
                <w:sz w:val="22"/>
                <w:szCs w:val="22"/>
                <w:lang w:val="en-US"/>
              </w:rPr>
              <w:t>Communication</w:t>
            </w:r>
          </w:p>
          <w:p w14:paraId="0683898A" w14:textId="77777777" w:rsidR="005E48F6" w:rsidRPr="007A3067" w:rsidRDefault="00CA0395" w:rsidP="007A3067">
            <w:pPr>
              <w:spacing w:before="120" w:after="120"/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  <w:r w:rsidRPr="007A3067">
              <w:rPr>
                <w:rFonts w:ascii="Aptos" w:hAnsi="Aptos" w:cs="Arial"/>
                <w:b/>
                <w:sz w:val="22"/>
                <w:szCs w:val="22"/>
                <w:lang w:val="en-US"/>
              </w:rPr>
              <w:t>Key tasks:</w:t>
            </w:r>
          </w:p>
          <w:p w14:paraId="7F40307F" w14:textId="3BE9FAFB" w:rsidR="005E48F6" w:rsidRPr="007A3067" w:rsidRDefault="00844EAE" w:rsidP="007A3067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Provide oral and written reports to Safety Groups and meetings including GMSC, Biosecurity and Infection Control Group, CL 3 user group and others as required.</w:t>
            </w:r>
          </w:p>
          <w:p w14:paraId="1A4E4654" w14:textId="276BCAAB" w:rsidR="00844EAE" w:rsidRPr="007A3067" w:rsidRDefault="00844EAE" w:rsidP="007A3067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Write and update (in line with national and internal legislation) relevant </w:t>
            </w:r>
            <w:r w:rsidR="00514C22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policies</w:t>
            </w: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, guidance, operating procedures related to the shipment and handling of dangerous goods and the safe use of biological</w:t>
            </w:r>
            <w:r w:rsidR="00D73EE7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 material.</w:t>
            </w:r>
          </w:p>
          <w:p w14:paraId="471E2F00" w14:textId="62D30479" w:rsidR="00E4290B" w:rsidRPr="007A3067" w:rsidRDefault="00437FAF" w:rsidP="007A3067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Assist in the preparation of </w:t>
            </w:r>
            <w:r w:rsidR="00E4290B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a dangerous goods annual </w:t>
            </w:r>
            <w:r w:rsidR="00514C22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report.</w:t>
            </w:r>
          </w:p>
          <w:p w14:paraId="0A843CA2" w14:textId="2323948B" w:rsidR="005E48F6" w:rsidRPr="007A3067" w:rsidRDefault="00E4290B" w:rsidP="007A3067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Ensure the SAPO licence application</w:t>
            </w:r>
            <w:r w:rsidR="007D6358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s, consents, GM </w:t>
            </w:r>
            <w:r w:rsidR="003E095E">
              <w:rPr>
                <w:rFonts w:ascii="Aptos" w:hAnsi="Aptos" w:cs="Arial"/>
                <w:bCs/>
                <w:sz w:val="22"/>
                <w:szCs w:val="22"/>
                <w:lang w:val="en-US"/>
              </w:rPr>
              <w:t>C</w:t>
            </w:r>
            <w:r w:rsidR="007D6358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ontained </w:t>
            </w:r>
            <w:r w:rsidR="003E095E">
              <w:rPr>
                <w:rFonts w:ascii="Aptos" w:hAnsi="Aptos" w:cs="Arial"/>
                <w:bCs/>
                <w:sz w:val="22"/>
                <w:szCs w:val="22"/>
                <w:lang w:val="en-US"/>
              </w:rPr>
              <w:t>U</w:t>
            </w:r>
            <w:r w:rsidR="007D6358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se notifications are submitted as required to regulatory bodies.</w:t>
            </w:r>
          </w:p>
          <w:p w14:paraId="5266A313" w14:textId="720532FF" w:rsidR="00E4290B" w:rsidRPr="007A3067" w:rsidRDefault="007D6358" w:rsidP="007A3067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7A3067">
              <w:rPr>
                <w:rFonts w:ascii="Aptos" w:hAnsi="Aptos"/>
                <w:sz w:val="22"/>
                <w:szCs w:val="22"/>
              </w:rPr>
              <w:t xml:space="preserve">Act as a key point of contact for regulatory inspections and investigations for biological </w:t>
            </w:r>
            <w:r w:rsidR="00CF36CD" w:rsidRPr="007A3067">
              <w:rPr>
                <w:rFonts w:ascii="Aptos" w:hAnsi="Aptos"/>
                <w:sz w:val="22"/>
                <w:szCs w:val="22"/>
              </w:rPr>
              <w:t>agents (including GMOs)</w:t>
            </w:r>
          </w:p>
        </w:tc>
      </w:tr>
      <w:tr w:rsidR="00CA0395" w:rsidRPr="007A3067" w14:paraId="42CD0157" w14:textId="77777777" w:rsidTr="00823F19">
        <w:tc>
          <w:tcPr>
            <w:tcW w:w="11023" w:type="dxa"/>
          </w:tcPr>
          <w:p w14:paraId="463C0770" w14:textId="77777777" w:rsidR="00514C22" w:rsidRDefault="00514C22" w:rsidP="007A3067">
            <w:pPr>
              <w:spacing w:before="120" w:after="120"/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</w:p>
          <w:p w14:paraId="09884DDE" w14:textId="77777777" w:rsidR="00514C22" w:rsidRDefault="00514C22" w:rsidP="007A3067">
            <w:pPr>
              <w:spacing w:before="120" w:after="120"/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</w:p>
          <w:p w14:paraId="5C38788B" w14:textId="07F628CF" w:rsidR="00CA0395" w:rsidRPr="007A3067" w:rsidRDefault="00CA0395" w:rsidP="007A3067">
            <w:pPr>
              <w:spacing w:before="120" w:after="120"/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  <w:r w:rsidRPr="007A3067">
              <w:rPr>
                <w:rFonts w:ascii="Aptos" w:hAnsi="Aptos" w:cs="Arial"/>
                <w:b/>
                <w:sz w:val="22"/>
                <w:szCs w:val="22"/>
                <w:lang w:val="en-US"/>
              </w:rPr>
              <w:lastRenderedPageBreak/>
              <w:t xml:space="preserve">Competency: </w:t>
            </w:r>
            <w:r w:rsidR="00844EAE" w:rsidRPr="007A3067">
              <w:rPr>
                <w:rFonts w:ascii="Aptos" w:hAnsi="Aptos" w:cs="Arial"/>
                <w:b/>
                <w:sz w:val="22"/>
                <w:szCs w:val="22"/>
                <w:lang w:val="en-US"/>
              </w:rPr>
              <w:t xml:space="preserve">Provision of </w:t>
            </w:r>
            <w:r w:rsidR="00CF36CD" w:rsidRPr="007A3067">
              <w:rPr>
                <w:rFonts w:ascii="Aptos" w:hAnsi="Aptos" w:cs="Arial"/>
                <w:b/>
                <w:sz w:val="22"/>
                <w:szCs w:val="22"/>
                <w:lang w:val="en-US"/>
              </w:rPr>
              <w:t xml:space="preserve">specialist </w:t>
            </w:r>
            <w:r w:rsidR="00844EAE" w:rsidRPr="007A3067">
              <w:rPr>
                <w:rFonts w:ascii="Aptos" w:hAnsi="Aptos" w:cs="Arial"/>
                <w:b/>
                <w:sz w:val="22"/>
                <w:szCs w:val="22"/>
                <w:lang w:val="en-US"/>
              </w:rPr>
              <w:t>advice</w:t>
            </w:r>
            <w:r w:rsidR="00D73EE7" w:rsidRPr="007A3067">
              <w:rPr>
                <w:rFonts w:ascii="Aptos" w:hAnsi="Aptos" w:cs="Arial"/>
                <w:b/>
                <w:sz w:val="22"/>
                <w:szCs w:val="22"/>
                <w:lang w:val="en-US"/>
              </w:rPr>
              <w:t xml:space="preserve"> </w:t>
            </w:r>
          </w:p>
          <w:p w14:paraId="7D75637B" w14:textId="734A4D5C" w:rsidR="00CA0395" w:rsidRPr="007A3067" w:rsidRDefault="00CA0395" w:rsidP="007A3067">
            <w:pPr>
              <w:spacing w:before="120" w:after="120"/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  <w:r w:rsidRPr="007A3067">
              <w:rPr>
                <w:rFonts w:ascii="Aptos" w:hAnsi="Aptos" w:cs="Arial"/>
                <w:b/>
                <w:sz w:val="22"/>
                <w:szCs w:val="22"/>
                <w:lang w:val="en-US"/>
              </w:rPr>
              <w:t>Key tasks:</w:t>
            </w:r>
          </w:p>
          <w:p w14:paraId="0486A99A" w14:textId="37F0D53A" w:rsidR="00D73EE7" w:rsidRPr="007A3067" w:rsidRDefault="00D73EE7" w:rsidP="007A3067">
            <w:pPr>
              <w:pStyle w:val="ListParagraph"/>
              <w:numPr>
                <w:ilvl w:val="0"/>
                <w:numId w:val="41"/>
              </w:numPr>
              <w:spacing w:before="120" w:after="12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Provide </w:t>
            </w:r>
            <w:r w:rsidR="00E4290B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specialist </w:t>
            </w: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advice on the importation, exportation and packaging requirements for dangerous goods including infectious </w:t>
            </w:r>
            <w:r w:rsidR="00514C22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substances.</w:t>
            </w:r>
          </w:p>
          <w:p w14:paraId="0ED2B532" w14:textId="2BE3E2AC" w:rsidR="00D73EE7" w:rsidRPr="007A3067" w:rsidRDefault="00D73EE7" w:rsidP="007A3067">
            <w:pPr>
              <w:pStyle w:val="ListParagraph"/>
              <w:numPr>
                <w:ilvl w:val="0"/>
                <w:numId w:val="41"/>
              </w:numPr>
              <w:spacing w:before="120" w:after="12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Co-ordinate the accredited training for employees for shipment of infectious substances by air</w:t>
            </w:r>
            <w:r w:rsidR="00CF36CD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 (IATA)</w:t>
            </w:r>
          </w:p>
          <w:p w14:paraId="6869D597" w14:textId="0593B4BC" w:rsidR="00D73EE7" w:rsidRPr="007A3067" w:rsidRDefault="00D73EE7" w:rsidP="007A3067">
            <w:pPr>
              <w:pStyle w:val="ListParagraph"/>
              <w:numPr>
                <w:ilvl w:val="0"/>
                <w:numId w:val="41"/>
              </w:numPr>
              <w:spacing w:before="120" w:after="12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Provision of</w:t>
            </w:r>
            <w:r w:rsidR="00CF36CD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 a</w:t>
            </w: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 training module on Biosafety</w:t>
            </w:r>
            <w:r w:rsidR="00E4290B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 for staff and students</w:t>
            </w:r>
          </w:p>
          <w:p w14:paraId="77A7F42C" w14:textId="6140700D" w:rsidR="00124B63" w:rsidRPr="007A3067" w:rsidRDefault="00124B63" w:rsidP="007A3067">
            <w:pPr>
              <w:pStyle w:val="ListParagraph"/>
              <w:numPr>
                <w:ilvl w:val="0"/>
                <w:numId w:val="41"/>
              </w:numPr>
              <w:spacing w:before="120" w:after="12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Provision of advice </w:t>
            </w:r>
            <w:r w:rsidR="00E4290B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for employees</w:t>
            </w: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 writing biological risk assessments, GM risk assessments and import licence applications.</w:t>
            </w:r>
          </w:p>
          <w:p w14:paraId="702752A6" w14:textId="7A03B08D" w:rsidR="00E4290B" w:rsidRPr="007A3067" w:rsidRDefault="00E4290B" w:rsidP="007A3067">
            <w:pPr>
              <w:pStyle w:val="ListParagraph"/>
              <w:numPr>
                <w:ilvl w:val="0"/>
                <w:numId w:val="41"/>
              </w:numPr>
              <w:spacing w:before="120" w:after="12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To provide specialist advice in investigations following incidents and accidents (relating to infectious substances or transport of dangerous goods)</w:t>
            </w:r>
          </w:p>
          <w:p w14:paraId="7A990848" w14:textId="0BB6D754" w:rsidR="00E4290B" w:rsidRPr="007A3067" w:rsidRDefault="00E4290B" w:rsidP="007A3067">
            <w:pPr>
              <w:pStyle w:val="ListParagraph"/>
              <w:numPr>
                <w:ilvl w:val="0"/>
                <w:numId w:val="41"/>
              </w:numPr>
              <w:spacing w:before="120" w:after="12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To provide advice and input in the writing and updating of codes of practice for the CL3 laboratories at Hawkshead</w:t>
            </w:r>
          </w:p>
          <w:p w14:paraId="6C458A06" w14:textId="0697E9D4" w:rsidR="005E48F6" w:rsidRPr="007A3067" w:rsidRDefault="0052092C" w:rsidP="007A3067">
            <w:pPr>
              <w:pStyle w:val="ListParagraph"/>
              <w:numPr>
                <w:ilvl w:val="0"/>
                <w:numId w:val="41"/>
              </w:numPr>
              <w:spacing w:before="120" w:after="120"/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To assist with the development and management of the pathogen inventory</w:t>
            </w:r>
          </w:p>
        </w:tc>
      </w:tr>
      <w:tr w:rsidR="00A525BD" w:rsidRPr="007A3067" w14:paraId="525A2E34" w14:textId="77777777" w:rsidTr="00823F19">
        <w:tc>
          <w:tcPr>
            <w:tcW w:w="11023" w:type="dxa"/>
          </w:tcPr>
          <w:p w14:paraId="4DB93581" w14:textId="67EC8ACE" w:rsidR="00A525BD" w:rsidRPr="007A3067" w:rsidRDefault="00A525BD" w:rsidP="007A3067">
            <w:pPr>
              <w:spacing w:before="120" w:after="120"/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  <w:r w:rsidRPr="007A3067">
              <w:rPr>
                <w:rFonts w:ascii="Aptos" w:hAnsi="Aptos" w:cs="Arial"/>
                <w:b/>
                <w:sz w:val="22"/>
                <w:szCs w:val="22"/>
                <w:lang w:val="en-US"/>
              </w:rPr>
              <w:lastRenderedPageBreak/>
              <w:t xml:space="preserve">Competency: </w:t>
            </w:r>
            <w:r w:rsidR="00124B63" w:rsidRPr="007A3067">
              <w:rPr>
                <w:rFonts w:ascii="Aptos" w:hAnsi="Aptos" w:cs="Arial"/>
                <w:b/>
                <w:sz w:val="22"/>
                <w:szCs w:val="22"/>
                <w:lang w:val="en-US"/>
              </w:rPr>
              <w:t>Knowledge and experience</w:t>
            </w:r>
          </w:p>
          <w:p w14:paraId="554679F7" w14:textId="6C4C9864" w:rsidR="005E48F6" w:rsidRPr="007A3067" w:rsidRDefault="00A525BD" w:rsidP="007A3067">
            <w:pPr>
              <w:spacing w:before="120" w:after="120"/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  <w:r w:rsidRPr="007A3067">
              <w:rPr>
                <w:rFonts w:ascii="Aptos" w:hAnsi="Aptos" w:cs="Arial"/>
                <w:b/>
                <w:sz w:val="22"/>
                <w:szCs w:val="22"/>
                <w:lang w:val="en-US"/>
              </w:rPr>
              <w:t>Key tasks:</w:t>
            </w:r>
          </w:p>
          <w:p w14:paraId="4D04F5E5" w14:textId="30648747" w:rsidR="005E48F6" w:rsidRPr="007A3067" w:rsidRDefault="00124B63" w:rsidP="007A3067">
            <w:pPr>
              <w:pStyle w:val="ListParagraph"/>
              <w:numPr>
                <w:ilvl w:val="0"/>
                <w:numId w:val="43"/>
              </w:numPr>
              <w:spacing w:before="120" w:after="120"/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  <w:r w:rsidRPr="007A3067">
              <w:rPr>
                <w:rFonts w:ascii="Aptos" w:hAnsi="Aptos" w:cstheme="minorHAnsi"/>
                <w:sz w:val="22"/>
                <w:szCs w:val="22"/>
              </w:rPr>
              <w:t xml:space="preserve">To undertake personal continuing professional development </w:t>
            </w:r>
            <w:proofErr w:type="gramStart"/>
            <w:r w:rsidRPr="007A3067">
              <w:rPr>
                <w:rFonts w:ascii="Aptos" w:hAnsi="Aptos" w:cstheme="minorHAnsi"/>
                <w:sz w:val="22"/>
                <w:szCs w:val="22"/>
              </w:rPr>
              <w:t>in order to</w:t>
            </w:r>
            <w:proofErr w:type="gramEnd"/>
            <w:r w:rsidRPr="007A3067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E4290B" w:rsidRPr="007A3067">
              <w:rPr>
                <w:rFonts w:ascii="Aptos" w:hAnsi="Aptos" w:cstheme="minorHAnsi"/>
                <w:sz w:val="22"/>
                <w:szCs w:val="22"/>
              </w:rPr>
              <w:t xml:space="preserve">maintain key competencies required for the role and to </w:t>
            </w:r>
            <w:r w:rsidRPr="007A3067">
              <w:rPr>
                <w:rFonts w:ascii="Aptos" w:hAnsi="Aptos" w:cstheme="minorHAnsi"/>
                <w:sz w:val="22"/>
                <w:szCs w:val="22"/>
              </w:rPr>
              <w:t>keep abreast of current changes in biosafety and dangerous goods legislation.</w:t>
            </w:r>
          </w:p>
        </w:tc>
      </w:tr>
      <w:tr w:rsidR="00CA0395" w:rsidRPr="007A3067" w14:paraId="2BE99982" w14:textId="77777777" w:rsidTr="00823F19">
        <w:tc>
          <w:tcPr>
            <w:tcW w:w="11023" w:type="dxa"/>
          </w:tcPr>
          <w:p w14:paraId="68AB5CD3" w14:textId="330406E4" w:rsidR="00CA0395" w:rsidRPr="007A3067" w:rsidRDefault="00CA0395" w:rsidP="007A3067">
            <w:pPr>
              <w:spacing w:before="120" w:after="120"/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  <w:r w:rsidRPr="007A3067">
              <w:rPr>
                <w:rFonts w:ascii="Aptos" w:hAnsi="Aptos" w:cs="Arial"/>
                <w:b/>
                <w:sz w:val="22"/>
                <w:szCs w:val="22"/>
                <w:lang w:val="en-US"/>
              </w:rPr>
              <w:t xml:space="preserve">Competency: </w:t>
            </w:r>
            <w:r w:rsidR="00124B63" w:rsidRPr="007A3067">
              <w:rPr>
                <w:rFonts w:ascii="Aptos" w:hAnsi="Aptos" w:cs="Arial"/>
                <w:b/>
                <w:sz w:val="22"/>
                <w:szCs w:val="22"/>
                <w:lang w:val="en-US"/>
              </w:rPr>
              <w:t xml:space="preserve">Liaison and </w:t>
            </w:r>
            <w:r w:rsidR="00524A1E">
              <w:rPr>
                <w:rFonts w:ascii="Aptos" w:hAnsi="Aptos" w:cs="Arial"/>
                <w:b/>
                <w:sz w:val="22"/>
                <w:szCs w:val="22"/>
                <w:lang w:val="en-US"/>
              </w:rPr>
              <w:t>N</w:t>
            </w:r>
            <w:r w:rsidR="00124B63" w:rsidRPr="007A3067">
              <w:rPr>
                <w:rFonts w:ascii="Aptos" w:hAnsi="Aptos" w:cs="Arial"/>
                <w:b/>
                <w:sz w:val="22"/>
                <w:szCs w:val="22"/>
                <w:lang w:val="en-US"/>
              </w:rPr>
              <w:t>etworking</w:t>
            </w:r>
          </w:p>
          <w:p w14:paraId="111505FD" w14:textId="77777777" w:rsidR="005E48F6" w:rsidRDefault="00CA0395" w:rsidP="007A3067">
            <w:pPr>
              <w:spacing w:before="120" w:after="120"/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  <w:r w:rsidRPr="007A3067">
              <w:rPr>
                <w:rFonts w:ascii="Aptos" w:hAnsi="Aptos" w:cs="Arial"/>
                <w:b/>
                <w:sz w:val="22"/>
                <w:szCs w:val="22"/>
                <w:lang w:val="en-US"/>
              </w:rPr>
              <w:t>Key tasks:</w:t>
            </w:r>
          </w:p>
          <w:p w14:paraId="7D15234A" w14:textId="0B2598A1" w:rsidR="00524A1E" w:rsidRPr="00524A1E" w:rsidRDefault="00DB50EC" w:rsidP="00524A1E">
            <w:pPr>
              <w:pStyle w:val="ListParagraph"/>
              <w:numPr>
                <w:ilvl w:val="0"/>
                <w:numId w:val="43"/>
              </w:numPr>
              <w:spacing w:before="120" w:after="120"/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  <w:r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Collaborating within the ‘Organisational Effectiveness’ team to ensure that RVC promotes a safe, </w:t>
            </w:r>
            <w:r w:rsidR="00514C22">
              <w:rPr>
                <w:rFonts w:ascii="Aptos" w:hAnsi="Aptos" w:cs="Arial"/>
                <w:bCs/>
                <w:sz w:val="22"/>
                <w:szCs w:val="22"/>
                <w:lang w:val="en-US"/>
              </w:rPr>
              <w:t>supporting,</w:t>
            </w:r>
            <w:r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 and enriching environment for staff and students. </w:t>
            </w:r>
          </w:p>
          <w:p w14:paraId="6E936DA2" w14:textId="44EB664E" w:rsidR="005E48F6" w:rsidRPr="007A3067" w:rsidRDefault="00124B63" w:rsidP="007A3067">
            <w:pPr>
              <w:pStyle w:val="ListParagraph"/>
              <w:numPr>
                <w:ilvl w:val="0"/>
                <w:numId w:val="42"/>
              </w:numPr>
              <w:spacing w:before="120" w:after="12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To liaise with the regulatory bodies related to compliance with the handling of and transportation of infectious substances and dangerous goods and provide assurance of compliance to regulators. To include</w:t>
            </w:r>
            <w:r w:rsidR="00E4290B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,</w:t>
            </w: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 but not limited to HSE, Environment </w:t>
            </w:r>
            <w:r w:rsidR="00E4290B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A</w:t>
            </w: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gency</w:t>
            </w:r>
            <w:r w:rsidR="0052092C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 (EA)</w:t>
            </w: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, </w:t>
            </w:r>
            <w:r w:rsidR="00E4290B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N</w:t>
            </w: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ational Counter Terrorism Office</w:t>
            </w:r>
            <w:r w:rsidR="0052092C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 (NaCTSO)</w:t>
            </w: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 and Department for Transport</w:t>
            </w:r>
            <w:r w:rsidR="0052092C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 (DfT)</w:t>
            </w: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.</w:t>
            </w:r>
          </w:p>
          <w:p w14:paraId="7C322CB2" w14:textId="3755B688" w:rsidR="005E48F6" w:rsidRPr="007A3067" w:rsidRDefault="00124B63" w:rsidP="007A3067">
            <w:pPr>
              <w:pStyle w:val="ListParagraph"/>
              <w:numPr>
                <w:ilvl w:val="0"/>
                <w:numId w:val="42"/>
              </w:numPr>
              <w:spacing w:before="120" w:after="120"/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To maintain network</w:t>
            </w:r>
            <w:r w:rsidR="00CF36CD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s</w:t>
            </w:r>
            <w:r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 with bodies including ISTR, USHA and BSO regional Safety Groups to ensure that best practice is </w:t>
            </w:r>
            <w:r w:rsidR="00CF36CD" w:rsidRPr="007A3067">
              <w:rPr>
                <w:rFonts w:ascii="Aptos" w:hAnsi="Aptos" w:cs="Arial"/>
                <w:bCs/>
                <w:sz w:val="22"/>
                <w:szCs w:val="22"/>
                <w:lang w:val="en-US"/>
              </w:rPr>
              <w:t>shared and implemented</w:t>
            </w:r>
          </w:p>
        </w:tc>
      </w:tr>
      <w:tr w:rsidR="0024151B" w:rsidRPr="007A3067" w14:paraId="5690A8ED" w14:textId="77777777" w:rsidTr="00823F19">
        <w:tc>
          <w:tcPr>
            <w:tcW w:w="11023" w:type="dxa"/>
          </w:tcPr>
          <w:p w14:paraId="59D8C205" w14:textId="77777777" w:rsidR="007A3067" w:rsidRDefault="0024151B" w:rsidP="007A3067">
            <w:pPr>
              <w:spacing w:before="120" w:after="120"/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7A3067">
              <w:rPr>
                <w:rFonts w:ascii="Aptos" w:hAnsi="Aptos" w:cs="Arial"/>
                <w:b/>
                <w:bCs/>
                <w:sz w:val="22"/>
                <w:szCs w:val="22"/>
                <w:lang w:val="en-US"/>
              </w:rPr>
              <w:t>Flexibility:</w:t>
            </w:r>
            <w:r w:rsidRPr="007A3067">
              <w:rPr>
                <w:rFonts w:ascii="Aptos" w:hAnsi="Aptos" w:cs="Arial"/>
                <w:sz w:val="22"/>
                <w:szCs w:val="22"/>
                <w:lang w:val="en-US"/>
              </w:rPr>
              <w:t xml:space="preserve"> </w:t>
            </w:r>
          </w:p>
          <w:p w14:paraId="73B3DF76" w14:textId="1AA57DD3" w:rsidR="0024151B" w:rsidRPr="007A3067" w:rsidRDefault="0024151B" w:rsidP="007A3067">
            <w:pPr>
              <w:spacing w:before="120" w:after="120"/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7A3067">
              <w:rPr>
                <w:rFonts w:ascii="Aptos" w:hAnsi="Aptos" w:cs="Arial"/>
                <w:sz w:val="22"/>
                <w:szCs w:val="22"/>
                <w:lang w:val="en-US"/>
              </w:rPr>
              <w:t xml:space="preserve">To deliver services effectively, a degree of flexibility is needed, and the </w:t>
            </w:r>
            <w:r w:rsidR="00E34A89" w:rsidRPr="007A3067">
              <w:rPr>
                <w:rFonts w:ascii="Aptos" w:hAnsi="Aptos" w:cs="Arial"/>
                <w:sz w:val="22"/>
                <w:szCs w:val="22"/>
                <w:lang w:val="en-US"/>
              </w:rPr>
              <w:t>post holder</w:t>
            </w:r>
            <w:r w:rsidRPr="007A3067">
              <w:rPr>
                <w:rFonts w:ascii="Aptos" w:hAnsi="Aptos" w:cs="Arial"/>
                <w:sz w:val="22"/>
                <w:szCs w:val="22"/>
                <w:lang w:val="en-US"/>
              </w:rPr>
              <w:t xml:space="preserve"> may be required to perform work not specifically referred to above.</w:t>
            </w:r>
          </w:p>
        </w:tc>
      </w:tr>
    </w:tbl>
    <w:p w14:paraId="06AD7E11" w14:textId="77777777" w:rsidR="008E4B09" w:rsidRPr="007A3067" w:rsidRDefault="008E4B09" w:rsidP="007A3067">
      <w:pPr>
        <w:spacing w:before="120" w:after="120"/>
        <w:rPr>
          <w:rFonts w:ascii="Aptos" w:hAnsi="Aptos" w:cs="Arial"/>
          <w:sz w:val="22"/>
          <w:szCs w:val="22"/>
          <w:lang w:val="en-US"/>
        </w:rPr>
      </w:pPr>
    </w:p>
    <w:sectPr w:rsidR="008E4B09" w:rsidRPr="007A3067" w:rsidSect="007A3067">
      <w:headerReference w:type="first" r:id="rId7"/>
      <w:pgSz w:w="12240" w:h="15840"/>
      <w:pgMar w:top="993" w:right="680" w:bottom="36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57FA6" w14:textId="77777777" w:rsidR="006C4067" w:rsidRDefault="006C4067" w:rsidP="007A3067">
      <w:r>
        <w:separator/>
      </w:r>
    </w:p>
  </w:endnote>
  <w:endnote w:type="continuationSeparator" w:id="0">
    <w:p w14:paraId="730B076C" w14:textId="77777777" w:rsidR="006C4067" w:rsidRDefault="006C4067" w:rsidP="007A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1ECFF" w14:textId="77777777" w:rsidR="006C4067" w:rsidRDefault="006C4067" w:rsidP="007A3067">
      <w:r>
        <w:separator/>
      </w:r>
    </w:p>
  </w:footnote>
  <w:footnote w:type="continuationSeparator" w:id="0">
    <w:p w14:paraId="73DDFE10" w14:textId="77777777" w:rsidR="006C4067" w:rsidRDefault="006C4067" w:rsidP="007A3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25F6B" w14:textId="3CCD79AF" w:rsidR="007A3067" w:rsidRDefault="007A3067">
    <w:pPr>
      <w:pStyle w:val="Header"/>
    </w:pPr>
    <w:r w:rsidRPr="007A3067">
      <w:rPr>
        <w:rFonts w:ascii="Aptos" w:hAnsi="Aptos"/>
        <w:noProof/>
        <w:szCs w:val="20"/>
        <w:lang w:val="en-US" w:eastAsia="en-US"/>
      </w:rPr>
      <w:drawing>
        <wp:anchor distT="0" distB="0" distL="114300" distR="114300" simplePos="0" relativeHeight="251661312" behindDoc="1" locked="0" layoutInCell="1" allowOverlap="1" wp14:anchorId="31C1FA8D" wp14:editId="61198EB8">
          <wp:simplePos x="0" y="0"/>
          <wp:positionH relativeFrom="column">
            <wp:posOffset>-447675</wp:posOffset>
          </wp:positionH>
          <wp:positionV relativeFrom="paragraph">
            <wp:posOffset>-438785</wp:posOffset>
          </wp:positionV>
          <wp:extent cx="7988300" cy="952500"/>
          <wp:effectExtent l="0" t="0" r="0" b="0"/>
          <wp:wrapNone/>
          <wp:docPr id="450527103" name="Picture 450527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40EC"/>
    <w:multiLevelType w:val="hybridMultilevel"/>
    <w:tmpl w:val="E0FEFA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05F9"/>
    <w:multiLevelType w:val="hybridMultilevel"/>
    <w:tmpl w:val="B41648FA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C07C0"/>
    <w:multiLevelType w:val="hybridMultilevel"/>
    <w:tmpl w:val="03BEFAA8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6FD0"/>
    <w:multiLevelType w:val="hybridMultilevel"/>
    <w:tmpl w:val="09B6E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93515"/>
    <w:multiLevelType w:val="multilevel"/>
    <w:tmpl w:val="1E0AC28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0B08540A"/>
    <w:multiLevelType w:val="hybridMultilevel"/>
    <w:tmpl w:val="F1A02764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C1592"/>
    <w:multiLevelType w:val="hybridMultilevel"/>
    <w:tmpl w:val="8BC2192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0316B"/>
    <w:multiLevelType w:val="hybridMultilevel"/>
    <w:tmpl w:val="05BC49A4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854AB"/>
    <w:multiLevelType w:val="multilevel"/>
    <w:tmpl w:val="F1A02764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52E04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6317EFC"/>
    <w:multiLevelType w:val="hybridMultilevel"/>
    <w:tmpl w:val="BBB6A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C7516"/>
    <w:multiLevelType w:val="hybridMultilevel"/>
    <w:tmpl w:val="2D22D32E"/>
    <w:lvl w:ilvl="0" w:tplc="F0D6E3E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F0D6E3EC"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2661D"/>
    <w:multiLevelType w:val="hybridMultilevel"/>
    <w:tmpl w:val="50D43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E4E0F"/>
    <w:multiLevelType w:val="hybridMultilevel"/>
    <w:tmpl w:val="AA8AF98E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260420"/>
    <w:multiLevelType w:val="hybridMultilevel"/>
    <w:tmpl w:val="0466FB76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06767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B685D1C"/>
    <w:multiLevelType w:val="hybridMultilevel"/>
    <w:tmpl w:val="68BC8842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573189"/>
    <w:multiLevelType w:val="hybridMultilevel"/>
    <w:tmpl w:val="1CDED0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92F7A"/>
    <w:multiLevelType w:val="hybridMultilevel"/>
    <w:tmpl w:val="2C5ADD2C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C62E8C"/>
    <w:multiLevelType w:val="multilevel"/>
    <w:tmpl w:val="1CDED0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15FCE"/>
    <w:multiLevelType w:val="hybridMultilevel"/>
    <w:tmpl w:val="CD444A32"/>
    <w:lvl w:ilvl="0" w:tplc="F0D6E3E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E51DF"/>
    <w:multiLevelType w:val="multilevel"/>
    <w:tmpl w:val="1A28BC36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3B0B5089"/>
    <w:multiLevelType w:val="hybridMultilevel"/>
    <w:tmpl w:val="C42442F0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5454DC"/>
    <w:multiLevelType w:val="hybridMultilevel"/>
    <w:tmpl w:val="92A2C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90998"/>
    <w:multiLevelType w:val="hybridMultilevel"/>
    <w:tmpl w:val="740092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E6918"/>
    <w:multiLevelType w:val="hybridMultilevel"/>
    <w:tmpl w:val="2FE6D9E2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A57BE1"/>
    <w:multiLevelType w:val="hybridMultilevel"/>
    <w:tmpl w:val="575005F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44D6A"/>
    <w:multiLevelType w:val="hybridMultilevel"/>
    <w:tmpl w:val="3E3CE3AA"/>
    <w:lvl w:ilvl="0" w:tplc="06CE4A96">
      <w:start w:val="1"/>
      <w:numFmt w:val="bullet"/>
      <w:lvlText w:val=""/>
      <w:lvlJc w:val="left"/>
      <w:pPr>
        <w:tabs>
          <w:tab w:val="num" w:pos="398"/>
        </w:tabs>
        <w:ind w:left="398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29" w15:restartNumberingAfterBreak="0">
    <w:nsid w:val="4EED1639"/>
    <w:multiLevelType w:val="hybridMultilevel"/>
    <w:tmpl w:val="3F168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A6588"/>
    <w:multiLevelType w:val="hybridMultilevel"/>
    <w:tmpl w:val="A2668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6EAB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10780D"/>
    <w:multiLevelType w:val="hybridMultilevel"/>
    <w:tmpl w:val="D9D2E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B165C"/>
    <w:multiLevelType w:val="hybridMultilevel"/>
    <w:tmpl w:val="0DC0CAE6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7492D"/>
    <w:multiLevelType w:val="hybridMultilevel"/>
    <w:tmpl w:val="283870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85874"/>
    <w:multiLevelType w:val="hybridMultilevel"/>
    <w:tmpl w:val="30E8936A"/>
    <w:lvl w:ilvl="0" w:tplc="F0D6E3E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A6296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702C0BD6"/>
    <w:multiLevelType w:val="multilevel"/>
    <w:tmpl w:val="8C1A6D60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70391D4F"/>
    <w:multiLevelType w:val="multilevel"/>
    <w:tmpl w:val="B41648F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01025"/>
    <w:multiLevelType w:val="multilevel"/>
    <w:tmpl w:val="E0E690E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04660"/>
    <w:multiLevelType w:val="hybridMultilevel"/>
    <w:tmpl w:val="62408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240F1"/>
    <w:multiLevelType w:val="multilevel"/>
    <w:tmpl w:val="1A28BC36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894288A"/>
    <w:multiLevelType w:val="hybridMultilevel"/>
    <w:tmpl w:val="052A9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72EF4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8998408">
    <w:abstractNumId w:val="30"/>
  </w:num>
  <w:num w:numId="2" w16cid:durableId="586116526">
    <w:abstractNumId w:val="1"/>
  </w:num>
  <w:num w:numId="3" w16cid:durableId="1006901445">
    <w:abstractNumId w:val="3"/>
  </w:num>
  <w:num w:numId="4" w16cid:durableId="2027975688">
    <w:abstractNumId w:val="6"/>
  </w:num>
  <w:num w:numId="5" w16cid:durableId="1803767177">
    <w:abstractNumId w:val="32"/>
  </w:num>
  <w:num w:numId="6" w16cid:durableId="934091777">
    <w:abstractNumId w:val="15"/>
  </w:num>
  <w:num w:numId="7" w16cid:durableId="1525754414">
    <w:abstractNumId w:val="27"/>
  </w:num>
  <w:num w:numId="8" w16cid:durableId="1059286569">
    <w:abstractNumId w:val="18"/>
  </w:num>
  <w:num w:numId="9" w16cid:durableId="935332509">
    <w:abstractNumId w:val="9"/>
  </w:num>
  <w:num w:numId="10" w16cid:durableId="1870138502">
    <w:abstractNumId w:val="42"/>
  </w:num>
  <w:num w:numId="11" w16cid:durableId="977685623">
    <w:abstractNumId w:val="10"/>
  </w:num>
  <w:num w:numId="12" w16cid:durableId="285307912">
    <w:abstractNumId w:val="5"/>
  </w:num>
  <w:num w:numId="13" w16cid:durableId="1775398373">
    <w:abstractNumId w:val="7"/>
  </w:num>
  <w:num w:numId="14" w16cid:durableId="1809664286">
    <w:abstractNumId w:val="38"/>
  </w:num>
  <w:num w:numId="15" w16cid:durableId="2054961249">
    <w:abstractNumId w:val="35"/>
  </w:num>
  <w:num w:numId="16" w16cid:durableId="157037183">
    <w:abstractNumId w:val="36"/>
  </w:num>
  <w:num w:numId="17" w16cid:durableId="670329342">
    <w:abstractNumId w:val="16"/>
  </w:num>
  <w:num w:numId="18" w16cid:durableId="680401986">
    <w:abstractNumId w:val="22"/>
  </w:num>
  <w:num w:numId="19" w16cid:durableId="1650091314">
    <w:abstractNumId w:val="2"/>
  </w:num>
  <w:num w:numId="20" w16cid:durableId="662660222">
    <w:abstractNumId w:val="20"/>
  </w:num>
  <w:num w:numId="21" w16cid:durableId="167405265">
    <w:abstractNumId w:val="43"/>
  </w:num>
  <w:num w:numId="22" w16cid:durableId="2007707614">
    <w:abstractNumId w:val="37"/>
  </w:num>
  <w:num w:numId="23" w16cid:durableId="1902981520">
    <w:abstractNumId w:val="8"/>
  </w:num>
  <w:num w:numId="24" w16cid:durableId="1067999334">
    <w:abstractNumId w:val="4"/>
  </w:num>
  <w:num w:numId="25" w16cid:durableId="1985769573">
    <w:abstractNumId w:val="39"/>
  </w:num>
  <w:num w:numId="26" w16cid:durableId="1701080916">
    <w:abstractNumId w:val="40"/>
  </w:num>
  <w:num w:numId="27" w16cid:durableId="44766763">
    <w:abstractNumId w:val="28"/>
  </w:num>
  <w:num w:numId="28" w16cid:durableId="317463419">
    <w:abstractNumId w:val="29"/>
  </w:num>
  <w:num w:numId="29" w16cid:durableId="1647468760">
    <w:abstractNumId w:val="0"/>
  </w:num>
  <w:num w:numId="30" w16cid:durableId="188103203">
    <w:abstractNumId w:val="19"/>
  </w:num>
  <w:num w:numId="31" w16cid:durableId="1205292466">
    <w:abstractNumId w:val="26"/>
  </w:num>
  <w:num w:numId="32" w16cid:durableId="1201819971">
    <w:abstractNumId w:val="14"/>
  </w:num>
  <w:num w:numId="33" w16cid:durableId="2032293249">
    <w:abstractNumId w:val="12"/>
  </w:num>
  <w:num w:numId="34" w16cid:durableId="211814255">
    <w:abstractNumId w:val="34"/>
  </w:num>
  <w:num w:numId="35" w16cid:durableId="1100176450">
    <w:abstractNumId w:val="33"/>
  </w:num>
  <w:num w:numId="36" w16cid:durableId="778793084">
    <w:abstractNumId w:val="25"/>
  </w:num>
  <w:num w:numId="37" w16cid:durableId="883908594">
    <w:abstractNumId w:val="17"/>
  </w:num>
  <w:num w:numId="38" w16cid:durableId="262537728">
    <w:abstractNumId w:val="23"/>
  </w:num>
  <w:num w:numId="39" w16cid:durableId="507184122">
    <w:abstractNumId w:val="21"/>
  </w:num>
  <w:num w:numId="40" w16cid:durableId="513374267">
    <w:abstractNumId w:val="41"/>
  </w:num>
  <w:num w:numId="41" w16cid:durableId="2002733701">
    <w:abstractNumId w:val="13"/>
  </w:num>
  <w:num w:numId="42" w16cid:durableId="983704133">
    <w:abstractNumId w:val="31"/>
  </w:num>
  <w:num w:numId="43" w16cid:durableId="2069760837">
    <w:abstractNumId w:val="24"/>
  </w:num>
  <w:num w:numId="44" w16cid:durableId="8787819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27"/>
    <w:rsid w:val="00020A58"/>
    <w:rsid w:val="00025148"/>
    <w:rsid w:val="000263D9"/>
    <w:rsid w:val="00026BAD"/>
    <w:rsid w:val="00034895"/>
    <w:rsid w:val="0008608B"/>
    <w:rsid w:val="000A4508"/>
    <w:rsid w:val="000C3EFC"/>
    <w:rsid w:val="000C4CD2"/>
    <w:rsid w:val="000D1465"/>
    <w:rsid w:val="001147C2"/>
    <w:rsid w:val="00124B63"/>
    <w:rsid w:val="0014028F"/>
    <w:rsid w:val="001412F8"/>
    <w:rsid w:val="001427CC"/>
    <w:rsid w:val="001528B6"/>
    <w:rsid w:val="00156582"/>
    <w:rsid w:val="00162B31"/>
    <w:rsid w:val="001717EA"/>
    <w:rsid w:val="00197EED"/>
    <w:rsid w:val="00197F45"/>
    <w:rsid w:val="001A5B95"/>
    <w:rsid w:val="001B4840"/>
    <w:rsid w:val="001B6031"/>
    <w:rsid w:val="001B63CE"/>
    <w:rsid w:val="001D45DE"/>
    <w:rsid w:val="001D5FC9"/>
    <w:rsid w:val="001D71E8"/>
    <w:rsid w:val="001E512A"/>
    <w:rsid w:val="001F5A72"/>
    <w:rsid w:val="0021167C"/>
    <w:rsid w:val="00225097"/>
    <w:rsid w:val="00232464"/>
    <w:rsid w:val="00233315"/>
    <w:rsid w:val="0024151B"/>
    <w:rsid w:val="0026351C"/>
    <w:rsid w:val="00284CA9"/>
    <w:rsid w:val="00284D2A"/>
    <w:rsid w:val="0029165E"/>
    <w:rsid w:val="002A148A"/>
    <w:rsid w:val="002D2BCB"/>
    <w:rsid w:val="002D30AE"/>
    <w:rsid w:val="002E6686"/>
    <w:rsid w:val="002F0E29"/>
    <w:rsid w:val="002F3E2C"/>
    <w:rsid w:val="00300390"/>
    <w:rsid w:val="00300656"/>
    <w:rsid w:val="003257C0"/>
    <w:rsid w:val="0033451A"/>
    <w:rsid w:val="00356E02"/>
    <w:rsid w:val="00376B25"/>
    <w:rsid w:val="00377B39"/>
    <w:rsid w:val="003A0068"/>
    <w:rsid w:val="003A0551"/>
    <w:rsid w:val="003A26EE"/>
    <w:rsid w:val="003A5C6B"/>
    <w:rsid w:val="003B059B"/>
    <w:rsid w:val="003B09EB"/>
    <w:rsid w:val="003B17BA"/>
    <w:rsid w:val="003B249F"/>
    <w:rsid w:val="003B32BB"/>
    <w:rsid w:val="003C5F76"/>
    <w:rsid w:val="003D3118"/>
    <w:rsid w:val="003D5CF0"/>
    <w:rsid w:val="003E095E"/>
    <w:rsid w:val="003E31F8"/>
    <w:rsid w:val="00405901"/>
    <w:rsid w:val="00410098"/>
    <w:rsid w:val="00415C00"/>
    <w:rsid w:val="004179AF"/>
    <w:rsid w:val="00422564"/>
    <w:rsid w:val="0042670D"/>
    <w:rsid w:val="004374CA"/>
    <w:rsid w:val="00437FAF"/>
    <w:rsid w:val="00455798"/>
    <w:rsid w:val="0047251D"/>
    <w:rsid w:val="004A522C"/>
    <w:rsid w:val="004A5F6A"/>
    <w:rsid w:val="004E1FBB"/>
    <w:rsid w:val="004E234B"/>
    <w:rsid w:val="004E74FB"/>
    <w:rsid w:val="004F57AA"/>
    <w:rsid w:val="0050072A"/>
    <w:rsid w:val="0050704A"/>
    <w:rsid w:val="00510C5F"/>
    <w:rsid w:val="00514C22"/>
    <w:rsid w:val="0052092C"/>
    <w:rsid w:val="00524A1E"/>
    <w:rsid w:val="0052521F"/>
    <w:rsid w:val="00530EA0"/>
    <w:rsid w:val="00530FF8"/>
    <w:rsid w:val="0053199B"/>
    <w:rsid w:val="00541FE5"/>
    <w:rsid w:val="00557BA6"/>
    <w:rsid w:val="0056683C"/>
    <w:rsid w:val="00584F6A"/>
    <w:rsid w:val="00594FFB"/>
    <w:rsid w:val="005A5E89"/>
    <w:rsid w:val="005B3855"/>
    <w:rsid w:val="005B5D6D"/>
    <w:rsid w:val="005C6F84"/>
    <w:rsid w:val="005E347F"/>
    <w:rsid w:val="005E48F6"/>
    <w:rsid w:val="0060451F"/>
    <w:rsid w:val="00611F1B"/>
    <w:rsid w:val="006323E1"/>
    <w:rsid w:val="00686F8E"/>
    <w:rsid w:val="006A1F87"/>
    <w:rsid w:val="006A6D53"/>
    <w:rsid w:val="006C4067"/>
    <w:rsid w:val="00700F1A"/>
    <w:rsid w:val="00706D16"/>
    <w:rsid w:val="00710F17"/>
    <w:rsid w:val="00732DC1"/>
    <w:rsid w:val="007371FD"/>
    <w:rsid w:val="00743759"/>
    <w:rsid w:val="007477F0"/>
    <w:rsid w:val="00761925"/>
    <w:rsid w:val="00762341"/>
    <w:rsid w:val="00762B97"/>
    <w:rsid w:val="00776577"/>
    <w:rsid w:val="00781C86"/>
    <w:rsid w:val="0078654C"/>
    <w:rsid w:val="00787993"/>
    <w:rsid w:val="00797C98"/>
    <w:rsid w:val="007A3067"/>
    <w:rsid w:val="007D0F1E"/>
    <w:rsid w:val="007D6358"/>
    <w:rsid w:val="007E4BEA"/>
    <w:rsid w:val="007F087D"/>
    <w:rsid w:val="0080583E"/>
    <w:rsid w:val="00806BB1"/>
    <w:rsid w:val="00807233"/>
    <w:rsid w:val="008222E1"/>
    <w:rsid w:val="00823F19"/>
    <w:rsid w:val="00827327"/>
    <w:rsid w:val="00827422"/>
    <w:rsid w:val="0083267A"/>
    <w:rsid w:val="008441D5"/>
    <w:rsid w:val="00844EAE"/>
    <w:rsid w:val="00845137"/>
    <w:rsid w:val="008521FD"/>
    <w:rsid w:val="008612A5"/>
    <w:rsid w:val="0086754F"/>
    <w:rsid w:val="00873299"/>
    <w:rsid w:val="00875312"/>
    <w:rsid w:val="00884069"/>
    <w:rsid w:val="008A6A23"/>
    <w:rsid w:val="008B2B2C"/>
    <w:rsid w:val="008E34AA"/>
    <w:rsid w:val="008E4B09"/>
    <w:rsid w:val="008F691B"/>
    <w:rsid w:val="008F72A6"/>
    <w:rsid w:val="00921301"/>
    <w:rsid w:val="00927A99"/>
    <w:rsid w:val="0093170D"/>
    <w:rsid w:val="00954623"/>
    <w:rsid w:val="009641F0"/>
    <w:rsid w:val="00965CFE"/>
    <w:rsid w:val="00971803"/>
    <w:rsid w:val="00975F36"/>
    <w:rsid w:val="00993FAD"/>
    <w:rsid w:val="009B05D4"/>
    <w:rsid w:val="009C10A2"/>
    <w:rsid w:val="009C1828"/>
    <w:rsid w:val="009F3470"/>
    <w:rsid w:val="00A0351D"/>
    <w:rsid w:val="00A16787"/>
    <w:rsid w:val="00A16E0B"/>
    <w:rsid w:val="00A261A4"/>
    <w:rsid w:val="00A35783"/>
    <w:rsid w:val="00A4785C"/>
    <w:rsid w:val="00A525BD"/>
    <w:rsid w:val="00A5606C"/>
    <w:rsid w:val="00A70651"/>
    <w:rsid w:val="00A86360"/>
    <w:rsid w:val="00A91DE6"/>
    <w:rsid w:val="00AA6712"/>
    <w:rsid w:val="00AC6A9C"/>
    <w:rsid w:val="00AC71A5"/>
    <w:rsid w:val="00AD55D3"/>
    <w:rsid w:val="00AE1548"/>
    <w:rsid w:val="00AF4DC9"/>
    <w:rsid w:val="00AF6992"/>
    <w:rsid w:val="00B07376"/>
    <w:rsid w:val="00B32F49"/>
    <w:rsid w:val="00B35EF4"/>
    <w:rsid w:val="00B43E8B"/>
    <w:rsid w:val="00B534D2"/>
    <w:rsid w:val="00B64CBE"/>
    <w:rsid w:val="00B64DE1"/>
    <w:rsid w:val="00B65700"/>
    <w:rsid w:val="00B803FE"/>
    <w:rsid w:val="00B82F19"/>
    <w:rsid w:val="00B83ACC"/>
    <w:rsid w:val="00B83F15"/>
    <w:rsid w:val="00B873FF"/>
    <w:rsid w:val="00BC1E4A"/>
    <w:rsid w:val="00BC5BA0"/>
    <w:rsid w:val="00BF2852"/>
    <w:rsid w:val="00BF68FE"/>
    <w:rsid w:val="00C0324D"/>
    <w:rsid w:val="00C111FE"/>
    <w:rsid w:val="00C12B48"/>
    <w:rsid w:val="00C41C77"/>
    <w:rsid w:val="00C52662"/>
    <w:rsid w:val="00C57413"/>
    <w:rsid w:val="00C95D9C"/>
    <w:rsid w:val="00C96F9D"/>
    <w:rsid w:val="00CA0395"/>
    <w:rsid w:val="00CA1495"/>
    <w:rsid w:val="00CA491B"/>
    <w:rsid w:val="00CA7755"/>
    <w:rsid w:val="00CC2FD2"/>
    <w:rsid w:val="00CC502B"/>
    <w:rsid w:val="00CF3694"/>
    <w:rsid w:val="00CF36CD"/>
    <w:rsid w:val="00D03075"/>
    <w:rsid w:val="00D12C9D"/>
    <w:rsid w:val="00D14831"/>
    <w:rsid w:val="00D45272"/>
    <w:rsid w:val="00D533FF"/>
    <w:rsid w:val="00D6444D"/>
    <w:rsid w:val="00D71A79"/>
    <w:rsid w:val="00D73EE7"/>
    <w:rsid w:val="00D83261"/>
    <w:rsid w:val="00D83D60"/>
    <w:rsid w:val="00D87086"/>
    <w:rsid w:val="00D96691"/>
    <w:rsid w:val="00DB50EC"/>
    <w:rsid w:val="00DC098A"/>
    <w:rsid w:val="00DC72C2"/>
    <w:rsid w:val="00DE27C6"/>
    <w:rsid w:val="00DF6992"/>
    <w:rsid w:val="00E027F8"/>
    <w:rsid w:val="00E17D13"/>
    <w:rsid w:val="00E23C05"/>
    <w:rsid w:val="00E327E8"/>
    <w:rsid w:val="00E34A89"/>
    <w:rsid w:val="00E41319"/>
    <w:rsid w:val="00E4290B"/>
    <w:rsid w:val="00E4672A"/>
    <w:rsid w:val="00E46E82"/>
    <w:rsid w:val="00E77B41"/>
    <w:rsid w:val="00E92020"/>
    <w:rsid w:val="00EA0F6A"/>
    <w:rsid w:val="00EC2A17"/>
    <w:rsid w:val="00EC7CC1"/>
    <w:rsid w:val="00F01C76"/>
    <w:rsid w:val="00F25651"/>
    <w:rsid w:val="00F272F9"/>
    <w:rsid w:val="00F27DEB"/>
    <w:rsid w:val="00F42E8C"/>
    <w:rsid w:val="00F46CC3"/>
    <w:rsid w:val="00F644CC"/>
    <w:rsid w:val="00F71E9B"/>
    <w:rsid w:val="00F74F52"/>
    <w:rsid w:val="00F92BBB"/>
    <w:rsid w:val="00F9362F"/>
    <w:rsid w:val="00F9611F"/>
    <w:rsid w:val="00FD72B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09A94"/>
  <w15:docId w15:val="{945BD6A2-7667-4462-B63C-BB427A9D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6A5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B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0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067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A30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06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RVC LOGO</vt:lpstr>
    </vt:vector>
  </TitlesOfParts>
  <Company>TOSHIBA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RVC LOGO</dc:title>
  <dc:subject/>
  <dc:creator>essoulami</dc:creator>
  <cp:keywords/>
  <dc:description/>
  <cp:lastModifiedBy>Kempthorne, Sarah</cp:lastModifiedBy>
  <cp:revision>2</cp:revision>
  <cp:lastPrinted>2010-04-22T14:25:00Z</cp:lastPrinted>
  <dcterms:created xsi:type="dcterms:W3CDTF">2025-03-04T14:39:00Z</dcterms:created>
  <dcterms:modified xsi:type="dcterms:W3CDTF">2025-03-04T14:39:00Z</dcterms:modified>
</cp:coreProperties>
</file>